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  <w:t>La entidad Club Teldeportivo , de acuerdo a la normativa detallada  a continuación,  no está obligada a auditar sus cuentas anuales .  Dicha situación se ha mantenido durante los siguientes ejercicios: 2019-2020-2021-2022-2023-2024-2025-</w:t>
      </w:r>
      <w:r>
        <w:rPr>
          <w:rFonts w:cs="Arial" w:ascii="Arial" w:hAnsi="Arial"/>
          <w:sz w:val="32"/>
          <w:szCs w:val="32"/>
        </w:rPr>
        <w:t>2026</w:t>
      </w:r>
    </w:p>
    <w:p>
      <w:pPr>
        <w:pStyle w:val="Normal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Autospacing="1" w:after="0"/>
        <w:jc w:val="both"/>
        <w:rPr>
          <w:rFonts w:ascii="Arial" w:hAnsi="Arial" w:eastAsia="Times New Roman" w:cs="Arial"/>
          <w:kern w:val="0"/>
          <w:sz w:val="32"/>
          <w:szCs w:val="32"/>
          <w:lang w:eastAsia="es-ES"/>
          <w14:ligatures w14:val="none"/>
        </w:rPr>
      </w:pPr>
      <w:r>
        <w:rPr>
          <w:rFonts w:eastAsia="Times New Roman" w:cs="Arial" w:ascii="Arial" w:hAnsi="Arial"/>
          <w:kern w:val="0"/>
          <w:sz w:val="32"/>
          <w:szCs w:val="32"/>
          <w:lang w:eastAsia="es-ES"/>
          <w14:ligatures w14:val="none"/>
        </w:rPr>
        <w:t>Ley 22/2015, de 20 de julio, de Auditoría de Cuentas (en adelante LAC).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Autospacing="1"/>
        <w:jc w:val="both"/>
        <w:rPr>
          <w:rFonts w:ascii="Arial" w:hAnsi="Arial" w:eastAsia="Times New Roman" w:cs="Arial"/>
          <w:kern w:val="0"/>
          <w:sz w:val="32"/>
          <w:szCs w:val="32"/>
          <w:lang w:eastAsia="es-ES"/>
          <w14:ligatures w14:val="none"/>
        </w:rPr>
      </w:pPr>
      <w:r>
        <w:rPr>
          <w:rFonts w:eastAsia="Times New Roman" w:cs="Arial" w:ascii="Arial" w:hAnsi="Arial"/>
          <w:kern w:val="0"/>
          <w:sz w:val="32"/>
          <w:szCs w:val="32"/>
          <w:lang w:eastAsia="es-ES"/>
          <w14:ligatures w14:val="none"/>
        </w:rPr>
        <w:t>Real Decreto 2/2021, de 12 de enero, por el que se aprueba el Reglamento de desarrollo de la Ley 22/2015, de 20 de julio, de Auditoría de Cuentas (en adelante RLAC). Disposición Adicional Segunda</w:t>
      </w:r>
    </w:p>
    <w:p>
      <w:pPr>
        <w:pStyle w:val="Normal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s-ES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8106e"/>
    <w:rPr/>
  </w:style>
  <w:style w:type="character" w:styleId="PiedepginaCar" w:customStyle="1">
    <w:name w:val="Pie de página Car"/>
    <w:basedOn w:val="DefaultParagraphFont"/>
    <w:uiPriority w:val="99"/>
    <w:qFormat/>
    <w:rsid w:val="0048106e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8106e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48106e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LibreOffice/25.2.7.2$Windows_X86_64 LibreOffice_project/5cbfd1ab6520636bb5f7b99185aa69bd7456825d</Application>
  <AppVersion>15.0000</AppVersion>
  <Pages>1</Pages>
  <Words>81</Words>
  <Characters>430</Characters>
  <CharactersWithSpaces>509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2025-11-07T17:07:00Z</dcterms:created>
  <dc:creator>Usuario</dc:creator>
  <dc:description/>
  <dc:language>es-ES</dc:language>
  <cp:lastModifiedBy/>
  <dcterms:modified xsi:type="dcterms:W3CDTF">2026-10-06T20:43:19Z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